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37" w:type="dxa"/>
        <w:tblInd w:w="-367" w:type="dxa"/>
        <w:tblBorders>
          <w:top w:val="none" w:color="auto" w:sz="0" w:space="0"/>
          <w:left w:val="single" w:color="000000" w:sz="2"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7"/>
        <w:gridCol w:w="8826"/>
        <w:gridCol w:w="444"/>
      </w:tblGrid>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7" w:type="dxa"/>
          <w:wAfter w:w="444" w:type="dxa"/>
          <w:cantSplit/>
          <w:trHeight w:val="1102" w:hRule="atLeast"/>
        </w:trPr>
        <w:tc>
          <w:tcPr>
            <w:tcW w:w="8826" w:type="dxa"/>
            <w:tcBorders>
              <w:left w:val="nil"/>
            </w:tcBorders>
            <w:vAlign w:val="bottom"/>
          </w:tcPr>
          <w:p>
            <w:pPr>
              <w:adjustRightInd w:val="0"/>
              <w:snapToGrid w:val="0"/>
              <w:jc w:val="center"/>
              <w:rPr>
                <w:rFonts w:ascii="方正小标宋简体" w:hAnsi="宋体" w:eastAsia="方正小标宋简体"/>
                <w:color w:val="FF0000"/>
                <w:spacing w:val="-6"/>
                <w:sz w:val="72"/>
                <w:szCs w:val="20"/>
              </w:rPr>
            </w:pPr>
            <w:r>
              <w:rPr>
                <w:rFonts w:hint="eastAsia" w:ascii="方正小标宋简体" w:hAnsi="宋体" w:eastAsia="方正小标宋简体"/>
                <w:color w:val="FF0000"/>
                <w:spacing w:val="-6"/>
                <w:sz w:val="72"/>
                <w:szCs w:val="20"/>
              </w:rPr>
              <w:t>山东省普通高等学校</w:t>
            </w:r>
          </w:p>
          <w:p>
            <w:pPr>
              <w:adjustRightInd w:val="0"/>
              <w:snapToGrid w:val="0"/>
              <w:jc w:val="center"/>
              <w:rPr>
                <w:rFonts w:ascii="方正小标宋简体" w:hAnsi="Times New Roman" w:eastAsia="方正小标宋简体"/>
                <w:color w:val="FF0000"/>
                <w:spacing w:val="-6"/>
                <w:sz w:val="84"/>
                <w:szCs w:val="20"/>
              </w:rPr>
            </w:pPr>
            <w:r>
              <w:rPr>
                <w:rFonts w:hint="eastAsia" w:ascii="方正小标宋简体" w:hAnsi="宋体" w:eastAsia="方正小标宋简体"/>
                <w:color w:val="FF0000"/>
                <w:spacing w:val="-6"/>
                <w:sz w:val="72"/>
                <w:szCs w:val="20"/>
              </w:rPr>
              <w:t>劳动教育教学指导委员会</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 w:hRule="exact"/>
        </w:trPr>
        <w:tc>
          <w:tcPr>
            <w:tcW w:w="9637" w:type="dxa"/>
            <w:gridSpan w:val="3"/>
            <w:tcBorders>
              <w:left w:val="nil"/>
              <w:bottom w:val="thinThickSmallGap" w:color="FF0000" w:sz="18" w:space="0"/>
            </w:tcBorders>
          </w:tcPr>
          <w:p>
            <w:pPr>
              <w:spacing w:line="240" w:lineRule="atLeast"/>
              <w:rPr>
                <w:rFonts w:ascii="仿宋_GB2312" w:hAnsi="仿宋_GB2312" w:eastAsia="仿宋_GB2312"/>
                <w:spacing w:val="-6"/>
                <w:sz w:val="32"/>
                <w:szCs w:val="20"/>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7" w:type="dxa"/>
          <w:wAfter w:w="444" w:type="dxa"/>
          <w:cantSplit/>
          <w:trHeight w:val="227" w:hRule="exact"/>
        </w:trPr>
        <w:tc>
          <w:tcPr>
            <w:tcW w:w="8826" w:type="dxa"/>
            <w:tcBorders>
              <w:left w:val="nil"/>
            </w:tcBorders>
          </w:tcPr>
          <w:p>
            <w:pPr>
              <w:tabs>
                <w:tab w:val="left" w:pos="2814"/>
              </w:tabs>
              <w:spacing w:line="240" w:lineRule="atLeast"/>
              <w:jc w:val="left"/>
              <w:rPr>
                <w:rFonts w:ascii="仿宋_GB2312" w:hAnsi="方正仿宋_GBK" w:eastAsia="仿宋_GB2312"/>
                <w:spacing w:val="-6"/>
                <w:sz w:val="32"/>
                <w:szCs w:val="20"/>
              </w:rPr>
            </w:pPr>
            <w:r>
              <w:rPr>
                <w:rFonts w:hint="eastAsia" w:ascii="仿宋_GB2312" w:hAnsi="方正仿宋_GBK" w:eastAsia="仿宋_GB2312"/>
                <w:spacing w:val="-6"/>
                <w:sz w:val="32"/>
                <w:szCs w:val="20"/>
              </w:rPr>
              <w:tab/>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7" w:type="dxa"/>
          <w:wAfter w:w="444" w:type="dxa"/>
          <w:cantSplit/>
          <w:trHeight w:val="632" w:hRule="atLeast"/>
        </w:trPr>
        <w:tc>
          <w:tcPr>
            <w:tcW w:w="8826" w:type="dxa"/>
            <w:tcBorders>
              <w:left w:val="nil"/>
            </w:tcBorders>
            <w:vAlign w:val="center"/>
          </w:tcPr>
          <w:p>
            <w:pPr>
              <w:jc w:val="center"/>
              <w:rPr>
                <w:rFonts w:ascii="宋体" w:hAnsi="宋体"/>
                <w:b/>
                <w:spacing w:val="-6"/>
                <w:sz w:val="44"/>
                <w:szCs w:val="2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关于征集山东省普通本科高校劳动教育典型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教学案例和实践项目的通知</w:t>
            </w:r>
          </w:p>
          <w:p>
            <w:pPr>
              <w:adjustRightInd w:val="0"/>
              <w:snapToGrid w:val="0"/>
              <w:spacing w:line="700" w:lineRule="exact"/>
              <w:jc w:val="center"/>
              <w:textAlignment w:val="baseline"/>
              <w:rPr>
                <w:rFonts w:ascii="方正小标宋简体" w:hAnsi="方正小标宋简体" w:eastAsia="方正小标宋简体" w:cs="方正小标宋简体"/>
                <w:sz w:val="44"/>
                <w:szCs w:val="44"/>
              </w:rPr>
            </w:pPr>
          </w:p>
        </w:tc>
      </w:tr>
    </w:tbl>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各普通本科高校</w:t>
      </w:r>
      <w:r>
        <w:rPr>
          <w:rFonts w:hint="eastAsia" w:ascii="仿宋_GB2312" w:hAnsi="仿宋_GB2312" w:eastAsia="仿宋_GB2312" w:cs="仿宋_GB2312"/>
          <w:sz w:val="32"/>
          <w:szCs w:val="32"/>
        </w:rPr>
        <w:t>：</w:t>
      </w:r>
    </w:p>
    <w:p>
      <w:pPr>
        <w:widowControl/>
        <w:spacing w:line="560" w:lineRule="exact"/>
        <w:ind w:firstLine="556"/>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为贯彻落实中共中央、国务院《关于全面加强新时代大中小学劳动教育的意见》（中发〔</w:t>
      </w:r>
      <w:r>
        <w:rPr>
          <w:rFonts w:ascii="仿宋_GB2312" w:hAnsi="仿宋_GB2312" w:eastAsia="仿宋_GB2312" w:cs="仿宋_GB2312"/>
          <w:color w:val="222222"/>
          <w:kern w:val="0"/>
          <w:sz w:val="32"/>
          <w:szCs w:val="32"/>
        </w:rPr>
        <w:t>2020〕7号）</w:t>
      </w:r>
      <w:r>
        <w:rPr>
          <w:rFonts w:hint="eastAsia" w:ascii="仿宋_GB2312" w:hAnsi="仿宋_GB2312" w:eastAsia="仿宋_GB2312" w:cs="仿宋_GB2312"/>
          <w:color w:val="222222"/>
          <w:kern w:val="0"/>
          <w:sz w:val="32"/>
          <w:szCs w:val="32"/>
        </w:rPr>
        <w:t>精神，落实我省《加快推进新时代普通高等学校劳动教育行动指南》有关部署，推进劳动教育有机融入各类课程及人才培养全过程，充分发挥劳动实践在劳动教育中的关键作用，展现劳动教育成果，总结推广典型经验和有效做法，实现优质劳动教育资源共享，经研究，决定面向山东省普通本科高校征集劳动教育典型教学案例和实践项目。现将有关事项通知如下。</w:t>
      </w:r>
    </w:p>
    <w:p>
      <w:pPr>
        <w:widowControl/>
        <w:spacing w:line="560" w:lineRule="exact"/>
        <w:ind w:firstLine="555"/>
        <w:jc w:val="left"/>
        <w:rPr>
          <w:rFonts w:ascii="仿宋" w:hAnsi="仿宋" w:eastAsia="仿宋" w:cs="Tahoma"/>
          <w:color w:val="222222"/>
          <w:kern w:val="0"/>
          <w:sz w:val="29"/>
          <w:szCs w:val="29"/>
        </w:rPr>
      </w:pPr>
      <w:r>
        <w:rPr>
          <w:rFonts w:hint="eastAsia" w:ascii="黑体" w:hAnsi="黑体" w:eastAsia="黑体" w:cs="Tahoma"/>
          <w:color w:val="222222"/>
          <w:kern w:val="0"/>
          <w:sz w:val="29"/>
          <w:szCs w:val="29"/>
        </w:rPr>
        <w:t>一、申报要求</w:t>
      </w:r>
    </w:p>
    <w:p>
      <w:pPr>
        <w:widowControl/>
        <w:spacing w:line="560" w:lineRule="exact"/>
        <w:ind w:firstLine="555"/>
        <w:jc w:val="left"/>
        <w:rPr>
          <w:rFonts w:ascii="仿宋_GB2312" w:hAnsi="楷体_GB2312" w:eastAsia="仿宋_GB2312" w:cs="楷体_GB2312"/>
          <w:color w:val="222222"/>
          <w:kern w:val="0"/>
          <w:sz w:val="32"/>
          <w:szCs w:val="32"/>
        </w:rPr>
      </w:pPr>
      <w:r>
        <w:rPr>
          <w:rFonts w:hint="eastAsia" w:ascii="楷体_GB2312" w:hAnsi="楷体_GB2312" w:eastAsia="楷体_GB2312" w:cs="楷体_GB2312"/>
          <w:color w:val="222222"/>
          <w:kern w:val="0"/>
          <w:sz w:val="32"/>
          <w:szCs w:val="32"/>
        </w:rPr>
        <w:t>（一）劳动教育典型教学案例。</w:t>
      </w:r>
      <w:r>
        <w:rPr>
          <w:rFonts w:hint="eastAsia" w:ascii="仿宋_GB2312" w:hAnsi="楷体_GB2312" w:eastAsia="仿宋_GB2312" w:cs="楷体_GB2312"/>
          <w:color w:val="222222"/>
          <w:kern w:val="0"/>
          <w:sz w:val="32"/>
          <w:szCs w:val="32"/>
        </w:rPr>
        <w:t>申报案例应</w:t>
      </w:r>
      <w:r>
        <w:rPr>
          <w:rFonts w:hint="eastAsia" w:ascii="仿宋_GB2312" w:hAnsi="仿宋_GB2312" w:eastAsia="仿宋_GB2312" w:cs="仿宋_GB2312"/>
          <w:color w:val="222222"/>
          <w:kern w:val="0"/>
          <w:sz w:val="32"/>
          <w:szCs w:val="32"/>
        </w:rPr>
        <w:t>能够有效引导新时代大学生树立正确劳动观，崇尚劳动、尊重劳动，增强学生对劳动和职场世界的价值认同、情感认同。申报案例应具备以下特点：</w:t>
      </w:r>
    </w:p>
    <w:p>
      <w:pPr>
        <w:widowControl/>
        <w:spacing w:line="560" w:lineRule="exact"/>
        <w:ind w:firstLine="640" w:firstLineChars="20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color w:val="222222"/>
          <w:kern w:val="0"/>
          <w:sz w:val="32"/>
          <w:szCs w:val="32"/>
        </w:rPr>
        <w:t>根据学科专业特点，在相关课程中适当融入劳动价值观培养的目标设计和培养方法的植入。</w:t>
      </w:r>
    </w:p>
    <w:p>
      <w:pPr>
        <w:widowControl/>
        <w:spacing w:line="560" w:lineRule="exact"/>
        <w:ind w:firstLine="640" w:firstLineChars="200"/>
        <w:jc w:val="left"/>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2.</w:t>
      </w:r>
      <w:r>
        <w:rPr>
          <w:rFonts w:hint="eastAsia" w:ascii="仿宋_GB2312" w:hAnsi="仿宋_GB2312" w:eastAsia="仿宋_GB2312" w:cs="仿宋_GB2312"/>
          <w:color w:val="222222"/>
          <w:kern w:val="0"/>
          <w:sz w:val="32"/>
          <w:szCs w:val="32"/>
        </w:rPr>
        <w:t>在教学设计实施环节，充分挖掘劳模精神、劳动精神、工匠精神等育人元素，推进劳动教育与课程思政的一体化建设。</w:t>
      </w:r>
    </w:p>
    <w:p>
      <w:pPr>
        <w:widowControl/>
        <w:spacing w:line="560" w:lineRule="exact"/>
        <w:ind w:firstLine="640" w:firstLineChars="200"/>
        <w:jc w:val="left"/>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3.</w:t>
      </w:r>
      <w:r>
        <w:rPr>
          <w:rFonts w:hint="eastAsia" w:ascii="仿宋_GB2312" w:hAnsi="仿宋_GB2312" w:eastAsia="仿宋_GB2312" w:cs="仿宋_GB2312"/>
          <w:color w:val="222222"/>
          <w:kern w:val="0"/>
          <w:sz w:val="32"/>
          <w:szCs w:val="32"/>
        </w:rPr>
        <w:t>在学生成长评价中，有效融入劳动观念、劳动态度、劳动价值观等内容。</w:t>
      </w:r>
    </w:p>
    <w:p>
      <w:pPr>
        <w:widowControl/>
        <w:spacing w:line="560" w:lineRule="exact"/>
        <w:ind w:firstLine="555"/>
        <w:rPr>
          <w:rFonts w:ascii="仿宋_GB2312" w:hAnsi="仿宋_GB2312" w:eastAsia="仿宋_GB2312" w:cs="仿宋_GB2312"/>
          <w:color w:val="222222"/>
          <w:kern w:val="0"/>
          <w:sz w:val="32"/>
          <w:szCs w:val="32"/>
        </w:rPr>
      </w:pPr>
      <w:r>
        <w:rPr>
          <w:rFonts w:hint="eastAsia" w:ascii="楷体_GB2312" w:hAnsi="楷体_GB2312" w:eastAsia="楷体_GB2312" w:cs="楷体_GB2312"/>
          <w:color w:val="222222"/>
          <w:kern w:val="0"/>
          <w:sz w:val="32"/>
          <w:szCs w:val="32"/>
        </w:rPr>
        <w:t>（二）劳动教育典型实践项目。</w:t>
      </w:r>
      <w:r>
        <w:rPr>
          <w:rFonts w:hint="eastAsia" w:ascii="仿宋_GB2312" w:hAnsi="楷体_GB2312" w:eastAsia="仿宋_GB2312" w:cs="楷体_GB2312"/>
          <w:color w:val="222222"/>
          <w:kern w:val="0"/>
          <w:sz w:val="32"/>
          <w:szCs w:val="32"/>
        </w:rPr>
        <w:t>申报</w:t>
      </w:r>
      <w:r>
        <w:rPr>
          <w:rFonts w:hint="eastAsia" w:ascii="仿宋_GB2312" w:hAnsi="仿宋_GB2312" w:eastAsia="仿宋_GB2312" w:cs="仿宋_GB2312"/>
          <w:color w:val="222222"/>
          <w:kern w:val="0"/>
          <w:sz w:val="32"/>
          <w:szCs w:val="32"/>
        </w:rPr>
        <w:t>项目应突出育人实效，着力引领学生树立正确的劳动价值观，掌握通用劳动科学知识，培育良好的劳动习惯，习得基本的劳动技能，全面提高学生的劳动素养。申报项目应同时具备以下特点：</w:t>
      </w:r>
    </w:p>
    <w:p>
      <w:pPr>
        <w:widowControl/>
        <w:spacing w:line="560" w:lineRule="exact"/>
        <w:ind w:firstLine="555"/>
        <w:jc w:val="left"/>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1.</w:t>
      </w:r>
      <w:r>
        <w:rPr>
          <w:rFonts w:hint="eastAsia" w:ascii="仿宋_GB2312" w:hAnsi="仿宋_GB2312" w:eastAsia="仿宋_GB2312" w:cs="仿宋_GB2312"/>
          <w:color w:val="222222"/>
          <w:kern w:val="0"/>
          <w:sz w:val="32"/>
          <w:szCs w:val="32"/>
        </w:rPr>
        <w:t>强化实践体验，坚持以实践锻炼为主，强调身心参与，注重手脑并用。让学生亲历劳动过程，锤炼意志品质，实现理论学习和实践锻炼的统一。</w:t>
      </w:r>
    </w:p>
    <w:p>
      <w:pPr>
        <w:widowControl/>
        <w:spacing w:line="560" w:lineRule="exact"/>
        <w:ind w:firstLine="555"/>
        <w:jc w:val="left"/>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2.</w:t>
      </w:r>
      <w:r>
        <w:rPr>
          <w:rFonts w:hint="eastAsia" w:ascii="仿宋_GB2312" w:hAnsi="仿宋_GB2312" w:eastAsia="仿宋_GB2312" w:cs="仿宋_GB2312"/>
          <w:color w:val="222222"/>
          <w:kern w:val="0"/>
          <w:sz w:val="32"/>
          <w:szCs w:val="32"/>
        </w:rPr>
        <w:t>彰显时代特征，在充分发挥传统劳动、传统工艺项目育人功能的同时，紧跟科技发展和产业变革的步伐。注重结合产业新业态、劳动新形态，创新劳动教育内容、途径、方式，增强劳动教育的时代性。</w:t>
      </w:r>
    </w:p>
    <w:p>
      <w:pPr>
        <w:widowControl/>
        <w:spacing w:line="560" w:lineRule="exact"/>
        <w:ind w:firstLine="555"/>
        <w:jc w:val="left"/>
        <w:rPr>
          <w:rFonts w:ascii="仿宋" w:hAnsi="仿宋" w:eastAsia="仿宋" w:cs="Tahoma"/>
          <w:color w:val="222222"/>
          <w:kern w:val="0"/>
          <w:sz w:val="29"/>
          <w:szCs w:val="29"/>
        </w:rPr>
      </w:pPr>
      <w:r>
        <w:rPr>
          <w:rFonts w:ascii="仿宋_GB2312" w:hAnsi="仿宋_GB2312" w:eastAsia="仿宋_GB2312" w:cs="仿宋_GB2312"/>
          <w:color w:val="222222"/>
          <w:kern w:val="0"/>
          <w:sz w:val="32"/>
          <w:szCs w:val="32"/>
        </w:rPr>
        <w:t>3.</w:t>
      </w:r>
      <w:r>
        <w:rPr>
          <w:rFonts w:hint="eastAsia" w:ascii="仿宋_GB2312" w:hAnsi="仿宋_GB2312" w:eastAsia="仿宋_GB2312" w:cs="仿宋_GB2312"/>
          <w:color w:val="222222"/>
          <w:kern w:val="0"/>
          <w:sz w:val="32"/>
          <w:szCs w:val="32"/>
        </w:rPr>
        <w:t>防范安全风险，科学评估劳动实践活动的安全风险及可实施性，排除各种安全隐患，规范实践操作，确保学生安全。</w:t>
      </w:r>
    </w:p>
    <w:p>
      <w:pPr>
        <w:widowControl/>
        <w:spacing w:line="560" w:lineRule="exact"/>
        <w:ind w:firstLine="555"/>
        <w:jc w:val="left"/>
        <w:rPr>
          <w:rFonts w:ascii="黑体" w:hAnsi="黑体" w:eastAsia="黑体" w:cs="黑体"/>
          <w:color w:val="222222"/>
          <w:kern w:val="0"/>
          <w:sz w:val="32"/>
          <w:szCs w:val="32"/>
        </w:rPr>
      </w:pPr>
      <w:r>
        <w:rPr>
          <w:rFonts w:hint="eastAsia" w:ascii="黑体" w:hAnsi="黑体" w:eastAsia="黑体" w:cs="黑体"/>
          <w:color w:val="222222"/>
          <w:kern w:val="0"/>
          <w:sz w:val="32"/>
          <w:szCs w:val="32"/>
        </w:rPr>
        <w:t>二、申报方式</w:t>
      </w:r>
    </w:p>
    <w:p>
      <w:pPr>
        <w:widowControl/>
        <w:spacing w:line="560" w:lineRule="exact"/>
        <w:ind w:firstLine="555"/>
        <w:rPr>
          <w:rFonts w:ascii="仿宋_GB2312" w:hAnsi="仿宋_GB2312" w:eastAsia="仿宋_GB2312" w:cs="仿宋_GB2312"/>
          <w:color w:val="000000"/>
          <w:sz w:val="44"/>
          <w:szCs w:val="44"/>
        </w:rPr>
      </w:pPr>
      <w:r>
        <w:rPr>
          <w:rFonts w:hint="eastAsia" w:ascii="仿宋_GB2312" w:hAnsi="仿宋_GB2312" w:eastAsia="仿宋_GB2312" w:cs="仿宋_GB2312"/>
          <w:color w:val="222222"/>
          <w:kern w:val="0"/>
          <w:sz w:val="32"/>
          <w:szCs w:val="32"/>
        </w:rPr>
        <w:t>本次征集活动由各高校在校内遴选的基础上，择优向山东省普通高等学校劳动教育教学指导委员会（以下简称劳动教指委）推荐。其中，典型教学案例和实践项目每校推荐数量分别不超过5项。各校推荐案例和项目要体现学校特色和水平，具有一定的示范性和代表性。</w:t>
      </w:r>
    </w:p>
    <w:p>
      <w:pPr>
        <w:widowControl/>
        <w:spacing w:line="560" w:lineRule="exact"/>
        <w:ind w:firstLine="555"/>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请各高校于2023年8月31日前，将《山东省普通本科高校劳动教育典型教学案例申报书》（附件1）《山东省普通本科高校劳动教育典型实践项目申报书》（附件2）《山东省普通本科高校劳动教育典型教学案例和实践项目汇总表》（附件3）Word版及盖章扫描PDF版发送至邮箱14438120200052@sdmu.edu.cn,文件夹命名方式为“学校名称+山东省普通本科高校劳动教育典型教学案例/典型实践项目”，文档命名格式为“学校名称+典型教学案例/典型实践项目名称”。</w:t>
      </w:r>
    </w:p>
    <w:p>
      <w:pPr>
        <w:widowControl/>
        <w:spacing w:line="560" w:lineRule="exact"/>
        <w:ind w:firstLine="555"/>
        <w:rPr>
          <w:rFonts w:ascii="黑体" w:hAnsi="黑体" w:eastAsia="黑体" w:cs="仿宋_GB2312"/>
          <w:color w:val="222222"/>
          <w:kern w:val="0"/>
          <w:sz w:val="32"/>
          <w:szCs w:val="32"/>
        </w:rPr>
      </w:pPr>
      <w:r>
        <w:rPr>
          <w:rFonts w:hint="eastAsia" w:ascii="黑体" w:hAnsi="黑体" w:eastAsia="黑体" w:cs="仿宋_GB2312"/>
          <w:color w:val="222222"/>
          <w:kern w:val="0"/>
          <w:sz w:val="32"/>
          <w:szCs w:val="32"/>
        </w:rPr>
        <w:t>三、遴选方式</w:t>
      </w:r>
    </w:p>
    <w:p>
      <w:pPr>
        <w:widowControl/>
        <w:spacing w:line="560" w:lineRule="exact"/>
        <w:ind w:firstLine="555"/>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劳动教指委将组织专家对各校推荐的案例和项目进行评审，择优遴选一批典型教学案例和实践项目结集汇编，推进优质资源共享。</w:t>
      </w:r>
    </w:p>
    <w:p>
      <w:pPr>
        <w:widowControl/>
        <w:spacing w:line="560" w:lineRule="exact"/>
        <w:ind w:firstLine="555"/>
        <w:rPr>
          <w:rFonts w:ascii="黑体" w:hAnsi="黑体" w:eastAsia="黑体" w:cs="黑体"/>
          <w:color w:val="222222"/>
          <w:kern w:val="0"/>
          <w:sz w:val="32"/>
          <w:szCs w:val="32"/>
        </w:rPr>
      </w:pPr>
      <w:r>
        <w:rPr>
          <w:rFonts w:hint="eastAsia" w:ascii="黑体" w:hAnsi="黑体" w:eastAsia="黑体" w:cs="黑体"/>
          <w:color w:val="222222"/>
          <w:kern w:val="0"/>
          <w:sz w:val="32"/>
          <w:szCs w:val="32"/>
        </w:rPr>
        <w:t>四、其他事项</w:t>
      </w:r>
    </w:p>
    <w:p>
      <w:pPr>
        <w:widowControl/>
        <w:spacing w:line="560" w:lineRule="exact"/>
        <w:ind w:firstLine="555"/>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请各高校高度重视此次征集活动，加强组织领导，组织专门人员对申报材料进行意识形态审查，确保申报材料的思想性、政治性、科学性，且不存在侵犯任何第三方知识产权和其他合法权益的情形。</w:t>
      </w:r>
    </w:p>
    <w:p>
      <w:pPr>
        <w:widowControl/>
        <w:spacing w:line="560" w:lineRule="exact"/>
        <w:ind w:firstLine="555"/>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spacing w:val="-12"/>
          <w:kern w:val="0"/>
          <w:sz w:val="32"/>
          <w:szCs w:val="32"/>
        </w:rPr>
        <w:t>联系人：程合彬、肖俊茹；联系方式：</w:t>
      </w:r>
      <w:r>
        <w:rPr>
          <w:rFonts w:ascii="仿宋_GB2312" w:hAnsi="仿宋_GB2312" w:eastAsia="仿宋_GB2312" w:cs="仿宋_GB2312"/>
          <w:color w:val="222222"/>
          <w:spacing w:val="-12"/>
          <w:kern w:val="0"/>
          <w:sz w:val="32"/>
          <w:szCs w:val="32"/>
        </w:rPr>
        <w:t>0531-89636603,15662719801</w:t>
      </w:r>
      <w:r>
        <w:rPr>
          <w:rFonts w:hint="eastAsia" w:ascii="仿宋_GB2312" w:hAnsi="仿宋_GB2312" w:eastAsia="仿宋_GB2312" w:cs="仿宋_GB2312"/>
          <w:color w:val="222222"/>
          <w:kern w:val="0"/>
          <w:sz w:val="32"/>
          <w:szCs w:val="32"/>
        </w:rPr>
        <w:t>。</w:t>
      </w:r>
    </w:p>
    <w:p>
      <w:pPr>
        <w:widowControl/>
        <w:spacing w:line="560" w:lineRule="exact"/>
        <w:rPr>
          <w:rFonts w:ascii="仿宋_GB2312" w:hAnsi="仿宋_GB2312" w:eastAsia="仿宋_GB2312" w:cs="仿宋_GB2312"/>
          <w:color w:val="222222"/>
          <w:kern w:val="0"/>
          <w:sz w:val="32"/>
          <w:szCs w:val="32"/>
        </w:rPr>
      </w:pPr>
    </w:p>
    <w:p>
      <w:pPr>
        <w:tabs>
          <w:tab w:val="left" w:pos="1134"/>
        </w:tabs>
        <w:topLinePunct/>
        <w:adjustRightInd w:val="0"/>
        <w:snapToGrid w:val="0"/>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附件：</w:t>
      </w:r>
      <w:r>
        <w:rPr>
          <w:rFonts w:ascii="仿宋_GB2312" w:hAnsi="仿宋_GB2312" w:eastAsia="仿宋_GB2312" w:cs="仿宋_GB2312"/>
          <w:color w:val="222222"/>
          <w:spacing w:val="-6"/>
          <w:kern w:val="0"/>
          <w:sz w:val="32"/>
          <w:szCs w:val="32"/>
        </w:rPr>
        <w:t>1.山东省普通本科高校劳动教育</w:t>
      </w:r>
      <w:r>
        <w:rPr>
          <w:rFonts w:hint="eastAsia" w:ascii="仿宋_GB2312" w:hAnsi="仿宋_GB2312" w:eastAsia="仿宋_GB2312" w:cs="仿宋_GB2312"/>
          <w:color w:val="222222"/>
          <w:spacing w:val="-6"/>
          <w:kern w:val="0"/>
          <w:sz w:val="32"/>
          <w:szCs w:val="32"/>
        </w:rPr>
        <w:t>典型教学案例申报表</w:t>
      </w:r>
    </w:p>
    <w:p>
      <w:pPr>
        <w:tabs>
          <w:tab w:val="left" w:pos="1134"/>
        </w:tabs>
        <w:topLinePunct/>
        <w:adjustRightInd w:val="0"/>
        <w:snapToGrid w:val="0"/>
        <w:spacing w:line="560" w:lineRule="exact"/>
        <w:ind w:firstLine="1600" w:firstLineChars="5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w:t>
      </w:r>
      <w:r>
        <w:rPr>
          <w:rFonts w:hint="eastAsia" w:ascii="仿宋_GB2312" w:hAnsi="仿宋_GB2312" w:eastAsia="仿宋_GB2312" w:cs="仿宋_GB2312"/>
          <w:color w:val="222222"/>
          <w:spacing w:val="-6"/>
          <w:kern w:val="0"/>
          <w:sz w:val="32"/>
          <w:szCs w:val="32"/>
        </w:rPr>
        <w:t>山东省普通本科高校劳动教育典型实践项目申报表</w:t>
      </w:r>
    </w:p>
    <w:p>
      <w:pPr>
        <w:tabs>
          <w:tab w:val="left" w:pos="1134"/>
        </w:tabs>
        <w:topLinePunct/>
        <w:adjustRightInd w:val="0"/>
        <w:snapToGrid w:val="0"/>
        <w:spacing w:line="560" w:lineRule="exact"/>
        <w:ind w:firstLine="1600" w:firstLineChars="5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w:t>
      </w:r>
      <w:r>
        <w:rPr>
          <w:rFonts w:hint="eastAsia" w:ascii="仿宋_GB2312" w:hAnsi="仿宋_GB2312" w:eastAsia="仿宋_GB2312" w:cs="仿宋_GB2312"/>
          <w:color w:val="222222"/>
          <w:spacing w:val="-6"/>
          <w:kern w:val="0"/>
          <w:sz w:val="32"/>
          <w:szCs w:val="32"/>
        </w:rPr>
        <w:t>山东省普通本科高校劳动教育典型教学案例和实践</w:t>
      </w:r>
    </w:p>
    <w:p>
      <w:pPr>
        <w:widowControl/>
        <w:spacing w:line="560" w:lineRule="exact"/>
        <w:ind w:left="1470" w:leftChars="700"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项目汇总表</w:t>
      </w:r>
    </w:p>
    <w:p>
      <w:pPr>
        <w:pStyle w:val="2"/>
      </w:pPr>
    </w:p>
    <w:p>
      <w:pPr>
        <w:widowControl/>
        <w:spacing w:line="560" w:lineRule="exact"/>
        <w:ind w:firstLine="3200" w:firstLineChars="1000"/>
        <w:jc w:val="center"/>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山东省普通高等学校劳动教育</w:t>
      </w:r>
    </w:p>
    <w:p>
      <w:pPr>
        <w:widowControl/>
        <w:spacing w:line="560" w:lineRule="exact"/>
        <w:ind w:firstLine="3200" w:firstLineChars="1000"/>
        <w:jc w:val="center"/>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教学指导委员会</w:t>
      </w:r>
    </w:p>
    <w:p>
      <w:pPr>
        <w:widowControl/>
        <w:spacing w:line="560" w:lineRule="exact"/>
        <w:ind w:firstLine="3200" w:firstLineChars="1000"/>
        <w:jc w:val="center"/>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山东管理学院（代章）</w:t>
      </w:r>
    </w:p>
    <w:p>
      <w:pPr>
        <w:pStyle w:val="2"/>
        <w:ind w:firstLine="4800" w:firstLineChars="1500"/>
        <w:rPr>
          <w:rFonts w:hint="eastAsia" w:ascii="仿宋_GB2312" w:hAnsi="仿宋_GB2312" w:eastAsia="仿宋_GB2312" w:cs="仿宋_GB2312"/>
          <w:b w:val="0"/>
          <w:color w:val="222222"/>
          <w:kern w:val="0"/>
          <w:sz w:val="32"/>
          <w:szCs w:val="32"/>
        </w:rPr>
      </w:pPr>
      <w:r>
        <w:rPr>
          <w:rFonts w:hint="eastAsia" w:ascii="仿宋_GB2312" w:hAnsi="仿宋_GB2312" w:eastAsia="仿宋_GB2312" w:cs="仿宋_GB2312"/>
          <w:b w:val="0"/>
          <w:color w:val="222222"/>
          <w:kern w:val="0"/>
          <w:sz w:val="32"/>
          <w:szCs w:val="32"/>
        </w:rPr>
        <w:t>2023年7月</w:t>
      </w:r>
      <w:r>
        <w:rPr>
          <w:rFonts w:ascii="仿宋_GB2312" w:hAnsi="仿宋_GB2312" w:eastAsia="仿宋_GB2312" w:cs="仿宋_GB2312"/>
          <w:b w:val="0"/>
          <w:color w:val="222222"/>
          <w:kern w:val="0"/>
          <w:sz w:val="32"/>
          <w:szCs w:val="32"/>
        </w:rPr>
        <w:t>30</w:t>
      </w:r>
      <w:r>
        <w:rPr>
          <w:rFonts w:hint="eastAsia" w:ascii="仿宋_GB2312" w:hAnsi="仿宋_GB2312" w:eastAsia="仿宋_GB2312" w:cs="仿宋_GB2312"/>
          <w:b w:val="0"/>
          <w:color w:val="222222"/>
          <w:kern w:val="0"/>
          <w:sz w:val="32"/>
          <w:szCs w:val="32"/>
        </w:rPr>
        <w:t>日</w:t>
      </w:r>
    </w:p>
    <w:p>
      <w:pPr>
        <w:rPr>
          <w:rFonts w:hint="eastAsia" w:ascii="仿宋_GB2312" w:hAnsi="仿宋_GB2312" w:eastAsia="仿宋_GB2312" w:cs="仿宋_GB2312"/>
          <w:b w:val="0"/>
          <w:color w:val="222222"/>
          <w:kern w:val="0"/>
          <w:sz w:val="32"/>
          <w:szCs w:val="32"/>
        </w:rPr>
      </w:pPr>
    </w:p>
    <w:p>
      <w:pPr>
        <w:pStyle w:val="2"/>
      </w:pPr>
    </w:p>
    <w:p/>
    <w:p>
      <w:pPr>
        <w:pStyle w:val="2"/>
      </w:pPr>
    </w:p>
    <w:p/>
    <w:p>
      <w:pPr>
        <w:pStyle w:val="2"/>
      </w:pPr>
    </w:p>
    <w:p/>
    <w:p>
      <w:pPr>
        <w:pStyle w:val="2"/>
      </w:pPr>
    </w:p>
    <w:p>
      <w:pPr>
        <w:pStyle w:val="2"/>
      </w:pPr>
    </w:p>
    <w:p/>
    <w:p>
      <w:pPr>
        <w:pStyle w:val="15"/>
        <w:spacing w:line="240" w:lineRule="auto"/>
        <w:ind w:firstLine="0" w:firstLineChars="0"/>
      </w:pPr>
      <w:bookmarkStart w:id="0" w:name="_GoBack"/>
      <w:bookmarkEnd w:id="0"/>
    </w:p>
    <w:sectPr>
      <w:headerReference r:id="rId3" w:type="default"/>
      <w:footerReference r:id="rId5" w:type="default"/>
      <w:headerReference r:id="rId4" w:type="even"/>
      <w:footerReference r:id="rId6" w:type="even"/>
      <w:pgSz w:w="11906" w:h="16838"/>
      <w:pgMar w:top="2098" w:right="1531" w:bottom="2098"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overflowPunct w:val="0"/>
      <w:autoSpaceDE w:val="0"/>
      <w:autoSpaceDN w:val="0"/>
      <w:adjustRightInd w:val="0"/>
      <w:spacing w:line="240" w:lineRule="atLeast"/>
      <w:ind w:right="360" w:firstLine="360"/>
      <w:textAlignment w:val="baseline"/>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YTFjYTFlZDViMTAxNDQ5ZTQ2Y2VkZTdmMDM0YTYifQ=="/>
  </w:docVars>
  <w:rsids>
    <w:rsidRoot w:val="006E1F5D"/>
    <w:rsid w:val="00001F6E"/>
    <w:rsid w:val="0006551F"/>
    <w:rsid w:val="00080CB6"/>
    <w:rsid w:val="000954D6"/>
    <w:rsid w:val="000B706A"/>
    <w:rsid w:val="00132802"/>
    <w:rsid w:val="00152092"/>
    <w:rsid w:val="001A1DBB"/>
    <w:rsid w:val="001E4BF4"/>
    <w:rsid w:val="00243DFB"/>
    <w:rsid w:val="00262CD0"/>
    <w:rsid w:val="002875FC"/>
    <w:rsid w:val="002B58ED"/>
    <w:rsid w:val="002D2C62"/>
    <w:rsid w:val="003163E1"/>
    <w:rsid w:val="003629CB"/>
    <w:rsid w:val="00363B4F"/>
    <w:rsid w:val="00382AAC"/>
    <w:rsid w:val="0038737F"/>
    <w:rsid w:val="003950C1"/>
    <w:rsid w:val="003D4985"/>
    <w:rsid w:val="0041523E"/>
    <w:rsid w:val="004B1F6F"/>
    <w:rsid w:val="00537189"/>
    <w:rsid w:val="0057258A"/>
    <w:rsid w:val="00596776"/>
    <w:rsid w:val="005D1F9E"/>
    <w:rsid w:val="00622F74"/>
    <w:rsid w:val="0062565A"/>
    <w:rsid w:val="00652A5A"/>
    <w:rsid w:val="00690A72"/>
    <w:rsid w:val="006E1F5D"/>
    <w:rsid w:val="00750B7E"/>
    <w:rsid w:val="00794D63"/>
    <w:rsid w:val="007C22A5"/>
    <w:rsid w:val="0086619A"/>
    <w:rsid w:val="008A0873"/>
    <w:rsid w:val="008B51B8"/>
    <w:rsid w:val="00972472"/>
    <w:rsid w:val="00A6288C"/>
    <w:rsid w:val="00A8683A"/>
    <w:rsid w:val="00A906BE"/>
    <w:rsid w:val="00AC25FD"/>
    <w:rsid w:val="00AD240B"/>
    <w:rsid w:val="00B1314D"/>
    <w:rsid w:val="00B771FE"/>
    <w:rsid w:val="00B81EEC"/>
    <w:rsid w:val="00B8614E"/>
    <w:rsid w:val="00BA3485"/>
    <w:rsid w:val="00BD1B90"/>
    <w:rsid w:val="00C03287"/>
    <w:rsid w:val="00C050DE"/>
    <w:rsid w:val="00C32349"/>
    <w:rsid w:val="00C46DB5"/>
    <w:rsid w:val="00C82BA8"/>
    <w:rsid w:val="00CE3594"/>
    <w:rsid w:val="00D22CDC"/>
    <w:rsid w:val="00D527DC"/>
    <w:rsid w:val="00D55C26"/>
    <w:rsid w:val="00D72C05"/>
    <w:rsid w:val="00D76DCE"/>
    <w:rsid w:val="00D971BB"/>
    <w:rsid w:val="00DD1598"/>
    <w:rsid w:val="00DD3E1C"/>
    <w:rsid w:val="00E67484"/>
    <w:rsid w:val="00E81BBF"/>
    <w:rsid w:val="00ED02F4"/>
    <w:rsid w:val="00ED3532"/>
    <w:rsid w:val="00F23D54"/>
    <w:rsid w:val="00F53532"/>
    <w:rsid w:val="00FB0C31"/>
    <w:rsid w:val="00FF5AB0"/>
    <w:rsid w:val="070B6B66"/>
    <w:rsid w:val="076963DD"/>
    <w:rsid w:val="0ABB6AF5"/>
    <w:rsid w:val="0B090621"/>
    <w:rsid w:val="10627D99"/>
    <w:rsid w:val="10AA5642"/>
    <w:rsid w:val="11BD3153"/>
    <w:rsid w:val="125C471A"/>
    <w:rsid w:val="13081172"/>
    <w:rsid w:val="14524621"/>
    <w:rsid w:val="15EF58A5"/>
    <w:rsid w:val="18BC23D1"/>
    <w:rsid w:val="18E60E0C"/>
    <w:rsid w:val="25A42208"/>
    <w:rsid w:val="27663CAD"/>
    <w:rsid w:val="28F72F97"/>
    <w:rsid w:val="2E2A3F0D"/>
    <w:rsid w:val="374443F7"/>
    <w:rsid w:val="38765C86"/>
    <w:rsid w:val="38E81ADE"/>
    <w:rsid w:val="3AB127B5"/>
    <w:rsid w:val="3C096E11"/>
    <w:rsid w:val="42B21FB1"/>
    <w:rsid w:val="484216E1"/>
    <w:rsid w:val="48D05808"/>
    <w:rsid w:val="49C12AD9"/>
    <w:rsid w:val="4AF34F14"/>
    <w:rsid w:val="4BA91A77"/>
    <w:rsid w:val="4D2271F7"/>
    <w:rsid w:val="4D603C06"/>
    <w:rsid w:val="4D812CAB"/>
    <w:rsid w:val="4D8602C2"/>
    <w:rsid w:val="4E437F61"/>
    <w:rsid w:val="50650662"/>
    <w:rsid w:val="522105B9"/>
    <w:rsid w:val="52C5188C"/>
    <w:rsid w:val="530A729F"/>
    <w:rsid w:val="559B0682"/>
    <w:rsid w:val="56691B9A"/>
    <w:rsid w:val="58313520"/>
    <w:rsid w:val="58DD0FB2"/>
    <w:rsid w:val="762A53DF"/>
    <w:rsid w:val="79C66840"/>
    <w:rsid w:val="7C87349D"/>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uiPriority w:val="0"/>
    <w:pPr>
      <w:spacing w:before="120" w:after="120"/>
      <w:jc w:val="left"/>
    </w:pPr>
    <w:rPr>
      <w:rFonts w:ascii="Times New Roman" w:hAnsi="Times New Roman"/>
      <w:b/>
      <w:bCs/>
      <w:caps/>
      <w:sz w:val="20"/>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批注框文本 Char"/>
    <w:basedOn w:val="9"/>
    <w:link w:val="4"/>
    <w:semiHidden/>
    <w:qFormat/>
    <w:uiPriority w:val="99"/>
    <w:rPr>
      <w:rFonts w:ascii="Calibri" w:hAnsi="Calibri" w:eastAsia="宋体" w:cs="Times New Roman"/>
      <w:sz w:val="18"/>
      <w:szCs w:val="18"/>
    </w:rPr>
  </w:style>
  <w:style w:type="character" w:customStyle="1" w:styleId="12">
    <w:name w:val="页眉 Char"/>
    <w:basedOn w:val="9"/>
    <w:link w:val="6"/>
    <w:qFormat/>
    <w:uiPriority w:val="99"/>
    <w:rPr>
      <w:rFonts w:ascii="Calibri" w:hAnsi="Calibri" w:eastAsia="宋体" w:cs="Times New Roman"/>
      <w:sz w:val="18"/>
      <w:szCs w:val="18"/>
    </w:rPr>
  </w:style>
  <w:style w:type="character" w:customStyle="1" w:styleId="13">
    <w:name w:val="页脚 Char"/>
    <w:basedOn w:val="9"/>
    <w:link w:val="5"/>
    <w:qFormat/>
    <w:uiPriority w:val="99"/>
    <w:rPr>
      <w:rFonts w:ascii="Calibri" w:hAnsi="Calibri" w:eastAsia="宋体" w:cs="Times New Roman"/>
      <w:sz w:val="18"/>
      <w:szCs w:val="18"/>
    </w:rPr>
  </w:style>
  <w:style w:type="character" w:customStyle="1" w:styleId="14">
    <w:name w:val="标题 2 Char"/>
    <w:basedOn w:val="9"/>
    <w:link w:val="3"/>
    <w:qFormat/>
    <w:uiPriority w:val="9"/>
    <w:rPr>
      <w:rFonts w:ascii="宋体" w:hAnsi="宋体" w:eastAsia="宋体" w:cs="宋体"/>
      <w:b/>
      <w:bCs/>
      <w:sz w:val="36"/>
      <w:szCs w:val="36"/>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6F067-3F7E-4C91-86B2-85E731EF693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3123</Words>
  <Characters>3207</Characters>
  <Lines>28</Lines>
  <Paragraphs>8</Paragraphs>
  <TotalTime>84</TotalTime>
  <ScaleCrop>false</ScaleCrop>
  <LinksUpToDate>false</LinksUpToDate>
  <CharactersWithSpaces>3608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2023-07-06T04:21:00Z</dcterms:created>
  <dc:creator>lenovo</dc:creator>
  <cp:lastModifiedBy>陈洁</cp:lastModifiedBy>
  <cp:lastPrinted>2023-08-03T01:37:00Z</cp:lastPrinted>
  <dcterms:modified xsi:type="dcterms:W3CDTF">2023-08-04T03:19:40Z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6162F1FB2CE4452884306FD9C355C68B_13</vt:lpwstr>
  </property>
</Properties>
</file>