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9" w:line="219" w:lineRule="auto"/>
        <w:ind w:left="320"/>
        <w:rPr>
          <w:rFonts w:ascii="宋体" w:hAnsi="宋体" w:eastAsia="宋体" w:cs="宋体"/>
          <w:sz w:val="75"/>
          <w:szCs w:val="75"/>
        </w:rPr>
      </w:pPr>
      <w:r>
        <w:rPr>
          <w:rFonts w:ascii="宋体" w:hAnsi="宋体" w:eastAsia="宋体" w:cs="宋体"/>
          <w:b/>
          <w:bCs/>
          <w:color w:val="FD1000"/>
          <w:spacing w:val="-35"/>
          <w:sz w:val="75"/>
          <w:szCs w:val="75"/>
        </w:rPr>
        <w:t>全国高校教师网络培训中心</w:t>
      </w:r>
    </w:p>
    <w:p>
      <w:pPr>
        <w:spacing w:before="229" w:line="130" w:lineRule="exact"/>
        <w:ind w:firstLine="90"/>
        <w:textAlignment w:val="center"/>
      </w:pPr>
      <w:r>
        <w:drawing>
          <wp:inline distT="0" distB="0" distL="0" distR="0">
            <wp:extent cx="5765800" cy="825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41" cy="8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1" w:line="224" w:lineRule="auto"/>
        <w:ind w:right="3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网培〔2023〕2号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20" w:line="560" w:lineRule="exact"/>
        <w:ind w:left="1465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16"/>
          <w:position w:val="13"/>
          <w:sz w:val="37"/>
          <w:szCs w:val="37"/>
        </w:rPr>
        <w:t>关于开展普通本科教育课程思政示范课程</w:t>
      </w:r>
    </w:p>
    <w:p>
      <w:pPr>
        <w:spacing w:before="2" w:line="220" w:lineRule="auto"/>
        <w:ind w:left="2715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15"/>
          <w:sz w:val="37"/>
          <w:szCs w:val="37"/>
        </w:rPr>
        <w:t>相应任课教师培训的通知</w:t>
      </w:r>
    </w:p>
    <w:p>
      <w:pPr>
        <w:spacing w:line="415" w:lineRule="auto"/>
        <w:rPr>
          <w:rFonts w:ascii="Arial"/>
          <w:sz w:val="21"/>
        </w:rPr>
      </w:pPr>
    </w:p>
    <w:p>
      <w:pPr>
        <w:spacing w:before="101" w:line="222" w:lineRule="auto"/>
        <w:ind w:left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各有关高等学校：</w:t>
      </w:r>
    </w:p>
    <w:p>
      <w:pPr>
        <w:spacing w:before="117" w:line="286" w:lineRule="auto"/>
        <w:ind w:left="539" w:right="38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为深入实施《高等学校课程思政建设指导纲要》,落实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《教育部高等教育司关于进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一步做好课程思政教学有</w:t>
      </w:r>
      <w:r>
        <w:rPr>
          <w:rFonts w:ascii="仿宋" w:hAnsi="仿宋" w:eastAsia="仿宋" w:cs="仿宋"/>
          <w:spacing w:val="16"/>
          <w:sz w:val="31"/>
          <w:szCs w:val="31"/>
        </w:rPr>
        <w:t>关工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作的通知》有关安排，更好发挥普通本科教育课程思政示范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课程引领带动作用，全国高校教师网络培训中心将于2023年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月起开展普通本科教育课程思政示范课程任课教师培训。</w:t>
      </w:r>
    </w:p>
    <w:p>
      <w:pPr>
        <w:spacing w:before="1" w:line="221" w:lineRule="auto"/>
        <w:ind w:left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现将有关事项通知如下。</w:t>
      </w:r>
    </w:p>
    <w:p>
      <w:pPr>
        <w:spacing w:before="117" w:line="222" w:lineRule="auto"/>
        <w:ind w:left="11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一、组织单位</w:t>
      </w:r>
    </w:p>
    <w:p>
      <w:pPr>
        <w:spacing w:before="106" w:line="221" w:lineRule="auto"/>
        <w:ind w:left="1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指导单位：教育部高等教育司</w:t>
      </w:r>
    </w:p>
    <w:p>
      <w:pPr>
        <w:spacing w:before="100" w:line="491" w:lineRule="exact"/>
        <w:ind w:left="1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2"/>
          <w:sz w:val="31"/>
          <w:szCs w:val="31"/>
        </w:rPr>
        <w:t>主办单位：全国高校教师网络培训中心、教育部高</w:t>
      </w:r>
      <w:r>
        <w:rPr>
          <w:rFonts w:ascii="仿宋" w:hAnsi="仿宋" w:eastAsia="仿宋" w:cs="仿宋"/>
          <w:spacing w:val="4"/>
          <w:position w:val="12"/>
          <w:sz w:val="31"/>
          <w:szCs w:val="31"/>
        </w:rPr>
        <w:t>等学</w:t>
      </w:r>
    </w:p>
    <w:p>
      <w:pPr>
        <w:spacing w:before="1" w:line="221" w:lineRule="auto"/>
        <w:ind w:left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校教学指导委员会</w:t>
      </w:r>
    </w:p>
    <w:p>
      <w:pPr>
        <w:spacing w:before="107" w:line="222" w:lineRule="auto"/>
        <w:ind w:left="11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二、</w:t>
      </w:r>
      <w:r>
        <w:rPr>
          <w:rFonts w:ascii="黑体" w:hAnsi="黑体" w:eastAsia="黑体" w:cs="黑体"/>
          <w:spacing w:val="-7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培训内容和目标</w:t>
      </w:r>
    </w:p>
    <w:p>
      <w:pPr>
        <w:spacing w:before="93" w:line="272" w:lineRule="auto"/>
        <w:ind w:left="539" w:right="315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邀请普通本科教育课程思政示范课程负责人介绍在课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程思政的资源挖掘、教学设计、课堂教学、教学研究等方面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的好经验好做法，邀请高等学校相关教学指导</w:t>
      </w:r>
      <w:r>
        <w:rPr>
          <w:rFonts w:ascii="仿宋" w:hAnsi="仿宋" w:eastAsia="仿宋" w:cs="仿宋"/>
          <w:spacing w:val="4"/>
          <w:sz w:val="31"/>
          <w:szCs w:val="31"/>
        </w:rPr>
        <w:t>委员会进行专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家点评和交流互动，帮助全国高校相应课程任课教师理解和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把握本专业类课程思政教学的内涵和要求，提升一线教师课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程思政教学能力，推动实现课程思政春风化雨</w:t>
      </w:r>
      <w:r>
        <w:rPr>
          <w:rFonts w:ascii="仿宋" w:hAnsi="仿宋" w:eastAsia="仿宋" w:cs="仿宋"/>
          <w:spacing w:val="9"/>
          <w:sz w:val="31"/>
          <w:szCs w:val="31"/>
        </w:rPr>
        <w:t>、润物无声，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推动课程思政高质量建设。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150" w:lineRule="exact"/>
        <w:textAlignment w:val="center"/>
      </w:pPr>
      <w:r>
        <w:drawing>
          <wp:inline distT="0" distB="0" distL="0" distR="0">
            <wp:extent cx="5765800" cy="952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840" cy="9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0" w:h="16840"/>
          <w:pgMar w:top="1431" w:right="1489" w:bottom="0" w:left="1249" w:header="0" w:footer="0" w:gutter="0"/>
          <w:cols w:space="720" w:num="1"/>
        </w:sectPr>
      </w:pPr>
    </w:p>
    <w:p>
      <w:pPr>
        <w:spacing w:before="147" w:line="222" w:lineRule="auto"/>
        <w:ind w:left="61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三、</w:t>
      </w:r>
      <w:r>
        <w:rPr>
          <w:rFonts w:ascii="黑体" w:hAnsi="黑体" w:eastAsia="黑体" w:cs="黑体"/>
          <w:spacing w:val="-7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参加对象</w:t>
      </w:r>
    </w:p>
    <w:p>
      <w:pPr>
        <w:spacing w:before="105" w:line="500" w:lineRule="exact"/>
        <w:ind w:left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position w:val="12"/>
          <w:sz w:val="32"/>
          <w:szCs w:val="32"/>
        </w:rPr>
        <w:t>全国高校开设与普通本科教育课程思政示范课</w:t>
      </w:r>
      <w:r>
        <w:rPr>
          <w:rFonts w:ascii="仿宋" w:hAnsi="仿宋" w:eastAsia="仿宋" w:cs="仿宋"/>
          <w:spacing w:val="8"/>
          <w:position w:val="12"/>
          <w:sz w:val="32"/>
          <w:szCs w:val="32"/>
        </w:rPr>
        <w:t>程相关</w:t>
      </w:r>
    </w:p>
    <w:p>
      <w:pPr>
        <w:spacing w:before="1" w:line="221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课程的任课教师。</w:t>
      </w:r>
    </w:p>
    <w:p>
      <w:pPr>
        <w:spacing w:before="112" w:line="221" w:lineRule="auto"/>
        <w:ind w:left="61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四</w:t>
      </w:r>
      <w:r>
        <w:rPr>
          <w:rFonts w:ascii="黑体" w:hAnsi="黑体" w:eastAsia="黑体" w:cs="黑体"/>
          <w:spacing w:val="-8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、报名及培训方式</w:t>
      </w:r>
    </w:p>
    <w:p>
      <w:pPr>
        <w:spacing w:before="115" w:line="289" w:lineRule="auto"/>
        <w:ind w:left="3" w:right="1386" w:firstLine="6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本次培训采用线上方式，以专业类为单位开展。参训教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师根据本人所在专业和所授课程，进行网络注册和相应培训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报名(网址为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http</w:t>
      </w:r>
      <w:r>
        <w:rPr>
          <w:rFonts w:ascii="仿宋" w:hAnsi="仿宋" w:eastAsia="仿宋" w:cs="仿宋"/>
          <w:spacing w:val="15"/>
          <w:sz w:val="32"/>
          <w:szCs w:val="32"/>
        </w:rPr>
        <w:t>://</w:t>
      </w:r>
      <w:r>
        <w:rPr>
          <w:rFonts w:ascii="仿宋" w:hAnsi="仿宋" w:eastAsia="仿宋" w:cs="仿宋"/>
          <w:sz w:val="32"/>
          <w:szCs w:val="32"/>
        </w:rPr>
        <w:t>kc</w:t>
      </w:r>
      <w:r>
        <w:rPr>
          <w:rFonts w:ascii="仿宋" w:hAnsi="仿宋" w:eastAsia="仿宋" w:cs="仿宋"/>
          <w:spacing w:val="15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enetedu</w:t>
      </w:r>
      <w:r>
        <w:rPr>
          <w:rFonts w:ascii="仿宋" w:hAnsi="仿宋" w:eastAsia="仿宋" w:cs="仿宋"/>
          <w:spacing w:val="15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com</w:t>
      </w:r>
      <w:r>
        <w:rPr>
          <w:rFonts w:ascii="仿宋" w:hAnsi="仿宋" w:eastAsia="仿宋" w:cs="仿宋"/>
          <w:spacing w:val="15"/>
          <w:sz w:val="32"/>
          <w:szCs w:val="32"/>
        </w:rPr>
        <w:t>),并至少完成1门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示范课程的培训。鼓励参训教师参加本专业类其他示范课程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或相近专业类示范课程的培训。本专业类培训结束次日起开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始回放，回放时间为3天。各专业类示范课程的具体安排将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由全国高校教师网络培训中心另发通知，届时请以具体培训</w:t>
      </w:r>
    </w:p>
    <w:p>
      <w:pPr>
        <w:spacing w:line="222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通知为准。</w:t>
      </w:r>
    </w:p>
    <w:p>
      <w:pPr>
        <w:spacing w:before="110" w:line="222" w:lineRule="auto"/>
        <w:ind w:left="61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五、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结业证书及其他事项</w:t>
      </w:r>
    </w:p>
    <w:p>
      <w:pPr>
        <w:spacing w:before="130" w:line="222" w:lineRule="auto"/>
        <w:ind w:left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1.本次培训不收取费用。</w:t>
      </w:r>
    </w:p>
    <w:p>
      <w:pPr>
        <w:spacing w:before="98" w:line="285" w:lineRule="auto"/>
        <w:ind w:left="3" w:right="1416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2.参训人员在直播和回放期间完成相关培训内容且考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评合格后，将获颁相应课时的全国高校教师网络培训中心电</w:t>
      </w:r>
    </w:p>
    <w:p>
      <w:pPr>
        <w:spacing w:line="223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子结业证书。</w:t>
      </w:r>
    </w:p>
    <w:p>
      <w:pPr>
        <w:spacing w:before="137" w:line="221" w:lineRule="auto"/>
        <w:ind w:left="61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六、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联系方式</w:t>
      </w:r>
      <w:r>
        <w:rPr>
          <w:rFonts w:ascii="黑体" w:hAnsi="黑体" w:eastAsia="黑体" w:cs="黑体"/>
          <w:spacing w:val="-111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 </w:t>
      </w:r>
    </w:p>
    <w:p>
      <w:pPr>
        <w:spacing w:before="123" w:line="497" w:lineRule="exact"/>
        <w:ind w:left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2"/>
          <w:sz w:val="32"/>
          <w:szCs w:val="32"/>
        </w:rPr>
        <w:t>培训联系：于雪飞</w:t>
      </w:r>
      <w:r>
        <w:rPr>
          <w:rFonts w:ascii="仿宋" w:hAnsi="仿宋" w:eastAsia="仿宋" w:cs="仿宋"/>
          <w:spacing w:val="142"/>
          <w:position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2"/>
          <w:sz w:val="32"/>
          <w:szCs w:val="32"/>
        </w:rPr>
        <w:t>010-58582582</w:t>
      </w:r>
    </w:p>
    <w:p>
      <w:pPr>
        <w:spacing w:before="1" w:line="220" w:lineRule="auto"/>
        <w:ind w:left="22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杨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010-58582285</w:t>
      </w:r>
    </w:p>
    <w:p>
      <w:pPr>
        <w:spacing w:before="120" w:line="500" w:lineRule="exact"/>
        <w:ind w:left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2"/>
          <w:sz w:val="32"/>
          <w:szCs w:val="32"/>
        </w:rPr>
        <w:t>技术联系：李襄君</w:t>
      </w:r>
      <w:r>
        <w:rPr>
          <w:rFonts w:ascii="仿宋" w:hAnsi="仿宋" w:eastAsia="仿宋" w:cs="仿宋"/>
          <w:spacing w:val="122"/>
          <w:position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2"/>
          <w:sz w:val="32"/>
          <w:szCs w:val="32"/>
        </w:rPr>
        <w:t>010-58582617</w:t>
      </w:r>
      <w:bookmarkStart w:id="0" w:name="_GoBack"/>
      <w:bookmarkEnd w:id="0"/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5" w:line="501" w:lineRule="exact"/>
        <w:ind w:left="4453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-358140</wp:posOffset>
            </wp:positionV>
            <wp:extent cx="1435100" cy="14287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5126" cy="142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5"/>
          <w:position w:val="12"/>
          <w:sz w:val="32"/>
          <w:szCs w:val="32"/>
        </w:rPr>
        <w:t>全国高校教师网络培训中心</w:t>
      </w:r>
    </w:p>
    <w:p>
      <w:pPr>
        <w:spacing w:before="1" w:line="222" w:lineRule="auto"/>
        <w:ind w:left="49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1"/>
          <w:sz w:val="32"/>
          <w:szCs w:val="32"/>
        </w:rPr>
        <w:t>2023年2月22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1"/>
          <w:sz w:val="32"/>
          <w:szCs w:val="32"/>
        </w:rPr>
        <w:t>日</w:t>
      </w:r>
    </w:p>
    <w:p>
      <w:pPr>
        <w:sectPr>
          <w:pgSz w:w="11910" w:h="16840"/>
          <w:pgMar w:top="1431" w:right="499" w:bottom="0" w:left="1786" w:header="0" w:footer="0" w:gutter="0"/>
          <w:cols w:space="720" w:num="1"/>
        </w:sectPr>
      </w:pPr>
    </w:p>
    <w:p>
      <w:pPr>
        <w:spacing w:before="161" w:line="224" w:lineRule="auto"/>
        <w:ind w:left="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附件:</w:t>
      </w:r>
    </w:p>
    <w:p>
      <w:pPr>
        <w:spacing w:before="85" w:line="222" w:lineRule="auto"/>
        <w:ind w:left="25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2023年3月培训工作安排</w:t>
      </w:r>
    </w:p>
    <w:p>
      <w:pPr>
        <w:spacing w:before="273" w:line="226" w:lineRule="auto"/>
        <w:ind w:left="35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7"/>
          <w:sz w:val="32"/>
          <w:szCs w:val="32"/>
        </w:rPr>
        <w:t>(共34门)</w:t>
      </w:r>
    </w:p>
    <w:p>
      <w:pPr>
        <w:spacing w:line="58" w:lineRule="exact"/>
      </w:pPr>
    </w:p>
    <w:tbl>
      <w:tblPr>
        <w:tblStyle w:val="4"/>
        <w:tblW w:w="8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3666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1" w:type="dxa"/>
            <w:vAlign w:val="top"/>
          </w:tcPr>
          <w:p>
            <w:pPr>
              <w:spacing w:before="173" w:line="220" w:lineRule="auto"/>
              <w:ind w:left="7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培训专业</w:t>
            </w:r>
          </w:p>
        </w:tc>
        <w:tc>
          <w:tcPr>
            <w:tcW w:w="3666" w:type="dxa"/>
            <w:vAlign w:val="top"/>
          </w:tcPr>
          <w:p>
            <w:pPr>
              <w:spacing w:before="173" w:line="220" w:lineRule="auto"/>
              <w:ind w:left="124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培训课程</w:t>
            </w:r>
          </w:p>
        </w:tc>
        <w:tc>
          <w:tcPr>
            <w:tcW w:w="1953" w:type="dxa"/>
            <w:vAlign w:val="top"/>
          </w:tcPr>
          <w:p>
            <w:pPr>
              <w:spacing w:before="173" w:line="220" w:lineRule="auto"/>
              <w:ind w:left="3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9"/>
                <w:szCs w:val="29"/>
              </w:rPr>
              <w:t>培训时间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测绘类(3门)</w:t>
            </w:r>
          </w:p>
        </w:tc>
        <w:tc>
          <w:tcPr>
            <w:tcW w:w="3666" w:type="dxa"/>
            <w:vAlign w:val="top"/>
          </w:tcPr>
          <w:p>
            <w:pPr>
              <w:spacing w:before="173" w:line="219" w:lineRule="auto"/>
              <w:ind w:left="8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数字地形测量学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53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>3月3日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5" w:line="221" w:lineRule="auto"/>
              <w:ind w:left="139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测量学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4" w:line="219" w:lineRule="auto"/>
              <w:ind w:left="11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测绘学概论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Align w:val="top"/>
          </w:tcPr>
          <w:p>
            <w:pPr>
              <w:spacing w:before="176" w:line="219" w:lineRule="auto"/>
              <w:ind w:left="4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民族学类(1门)</w:t>
            </w:r>
          </w:p>
        </w:tc>
        <w:tc>
          <w:tcPr>
            <w:tcW w:w="3666" w:type="dxa"/>
            <w:vAlign w:val="top"/>
          </w:tcPr>
          <w:p>
            <w:pPr>
              <w:spacing w:before="177" w:line="221" w:lineRule="auto"/>
              <w:ind w:left="11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民族学通论</w:t>
            </w:r>
          </w:p>
        </w:tc>
        <w:tc>
          <w:tcPr>
            <w:tcW w:w="1953" w:type="dxa"/>
            <w:vAlign w:val="top"/>
          </w:tcPr>
          <w:p>
            <w:pPr>
              <w:spacing w:before="176" w:line="219" w:lineRule="auto"/>
              <w:ind w:left="45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3月10日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力学类(4门)</w:t>
            </w: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12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工程力学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24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3月11-12日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11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工程力学A2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4" w:line="219" w:lineRule="auto"/>
              <w:ind w:left="12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材料力学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7" w:line="219" w:lineRule="auto"/>
              <w:ind w:left="12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工程力学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2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大学外语类(4门)</w:t>
            </w:r>
          </w:p>
        </w:tc>
        <w:tc>
          <w:tcPr>
            <w:tcW w:w="3666" w:type="dxa"/>
            <w:vAlign w:val="top"/>
          </w:tcPr>
          <w:p>
            <w:pPr>
              <w:spacing w:before="178" w:line="220" w:lineRule="auto"/>
              <w:ind w:left="12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综合英语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24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3月17-18日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8" w:line="220" w:lineRule="auto"/>
              <w:ind w:left="12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大学英语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9" w:line="220" w:lineRule="auto"/>
              <w:ind w:left="12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大学英语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8" w:line="219" w:lineRule="auto"/>
              <w:ind w:left="73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通用英语B(提高)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4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护理学类(2门)</w:t>
            </w:r>
          </w:p>
        </w:tc>
        <w:tc>
          <w:tcPr>
            <w:tcW w:w="3666" w:type="dxa"/>
            <w:vAlign w:val="top"/>
          </w:tcPr>
          <w:p>
            <w:pPr>
              <w:spacing w:before="180" w:line="219" w:lineRule="auto"/>
              <w:ind w:left="8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中医临床护理学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45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3月21日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9" w:line="219" w:lineRule="auto"/>
              <w:ind w:left="8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精神心理照护学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71" w:type="dxa"/>
            <w:vAlign w:val="top"/>
          </w:tcPr>
          <w:p>
            <w:pPr>
              <w:spacing w:before="181" w:line="219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仪器类(1门)</w:t>
            </w:r>
          </w:p>
        </w:tc>
        <w:tc>
          <w:tcPr>
            <w:tcW w:w="3666" w:type="dxa"/>
            <w:vAlign w:val="top"/>
          </w:tcPr>
          <w:p>
            <w:pPr>
              <w:spacing w:before="179" w:line="219" w:lineRule="auto"/>
              <w:ind w:left="66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传感器技术及应用</w:t>
            </w:r>
          </w:p>
        </w:tc>
        <w:tc>
          <w:tcPr>
            <w:tcW w:w="1953" w:type="dxa"/>
            <w:vAlign w:val="top"/>
          </w:tcPr>
          <w:p>
            <w:pPr>
              <w:spacing w:before="181" w:line="219" w:lineRule="auto"/>
              <w:ind w:left="45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3月22日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Align w:val="top"/>
          </w:tcPr>
          <w:p>
            <w:pPr>
              <w:spacing w:before="182" w:line="219" w:lineRule="auto"/>
              <w:ind w:left="1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中西医结合类(1门)</w:t>
            </w:r>
          </w:p>
        </w:tc>
        <w:tc>
          <w:tcPr>
            <w:tcW w:w="3666" w:type="dxa"/>
            <w:vAlign w:val="top"/>
          </w:tcPr>
          <w:p>
            <w:pPr>
              <w:spacing w:before="182" w:line="220" w:lineRule="auto"/>
              <w:ind w:left="2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免疫学基础与病原生物学</w:t>
            </w:r>
          </w:p>
        </w:tc>
        <w:tc>
          <w:tcPr>
            <w:tcW w:w="1953" w:type="dxa"/>
            <w:vAlign w:val="top"/>
          </w:tcPr>
          <w:p>
            <w:pPr>
              <w:spacing w:before="182" w:line="219" w:lineRule="auto"/>
              <w:ind w:left="45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3月26日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2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生物科学类(9门)</w:t>
            </w:r>
          </w:p>
        </w:tc>
        <w:tc>
          <w:tcPr>
            <w:tcW w:w="3666" w:type="dxa"/>
            <w:vAlign w:val="top"/>
          </w:tcPr>
          <w:p>
            <w:pPr>
              <w:spacing w:before="183" w:line="221" w:lineRule="auto"/>
              <w:ind w:left="139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生理学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24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3月21-25日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82" w:line="220" w:lineRule="auto"/>
              <w:ind w:left="11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细胞生物学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431" w:right="1786" w:bottom="0" w:left="1715" w:header="0" w:footer="0" w:gutter="0"/>
          <w:cols w:space="720" w:num="1"/>
        </w:sectPr>
      </w:pPr>
    </w:p>
    <w:p>
      <w:pPr>
        <w:spacing w:line="43" w:lineRule="exact"/>
      </w:pPr>
    </w:p>
    <w:tbl>
      <w:tblPr>
        <w:tblStyle w:val="4"/>
        <w:tblW w:w="8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3666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7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96" w:line="219" w:lineRule="auto"/>
              <w:ind w:left="12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微生物学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2" w:line="219" w:lineRule="auto"/>
              <w:ind w:left="14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植物学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83" w:line="219" w:lineRule="auto"/>
              <w:ind w:left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井冈山生物学野外综合实践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205" w:line="221" w:lineRule="auto"/>
              <w:ind w:left="14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生态学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204" w:line="219" w:lineRule="auto"/>
              <w:ind w:left="14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植物学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216" w:line="220" w:lineRule="auto"/>
              <w:ind w:left="1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细胞生物学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7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206" w:line="219" w:lineRule="auto"/>
              <w:ind w:left="1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植物生理学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81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环境科学与工程类</w:t>
            </w:r>
          </w:p>
          <w:p>
            <w:pPr>
              <w:spacing w:before="284" w:line="222" w:lineRule="auto"/>
              <w:ind w:left="10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(3门)</w:t>
            </w:r>
          </w:p>
        </w:tc>
        <w:tc>
          <w:tcPr>
            <w:tcW w:w="3666" w:type="dxa"/>
            <w:vAlign w:val="top"/>
          </w:tcPr>
          <w:p>
            <w:pPr>
              <w:spacing w:before="177" w:line="219" w:lineRule="auto"/>
              <w:ind w:left="4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环境保护与可持续发展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3月27-28日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7" w:line="219" w:lineRule="auto"/>
              <w:ind w:left="9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环境仪器分析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88" w:line="220" w:lineRule="auto"/>
              <w:ind w:left="8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冶金环境工程学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8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计算机类(6门)</w:t>
            </w:r>
          </w:p>
        </w:tc>
        <w:tc>
          <w:tcPr>
            <w:tcW w:w="366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操作系统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3月29-31日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9" w:line="219" w:lineRule="auto"/>
              <w:ind w:left="9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信息安全导论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80" w:line="219" w:lineRule="auto"/>
              <w:ind w:left="12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并行计算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88" w:line="219" w:lineRule="auto"/>
              <w:ind w:left="8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计算机科学导论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88" w:line="219" w:lineRule="auto"/>
              <w:ind w:left="7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计算机与网络安全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9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程序设计基础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2" w:line="222" w:lineRule="auto"/>
        <w:ind w:left="94"/>
        <w:rPr>
          <w:rFonts w:ascii="Arial"/>
          <w:sz w:val="21"/>
        </w:rPr>
      </w:pPr>
      <w:r>
        <w:rPr>
          <w:rFonts w:ascii="仿宋" w:hAnsi="仿宋" w:eastAsia="仿宋" w:cs="仿宋"/>
          <w:spacing w:val="-3"/>
          <w:sz w:val="28"/>
          <w:szCs w:val="28"/>
        </w:rPr>
        <w:t>说明：各专业类示范课程相应任课教师培训将陆续分批次</w:t>
      </w:r>
      <w:r>
        <w:rPr>
          <w:rFonts w:ascii="仿宋" w:hAnsi="仿宋" w:eastAsia="仿宋" w:cs="仿宋"/>
          <w:spacing w:val="-4"/>
          <w:sz w:val="28"/>
          <w:szCs w:val="28"/>
        </w:rPr>
        <w:t>开展。</w:t>
      </w:r>
    </w:p>
    <w:sectPr>
      <w:pgSz w:w="11910" w:h="16840"/>
      <w:pgMar w:top="1431" w:right="1786" w:bottom="0" w:left="16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ZkMmIxZDhkOGIxMWY4OTIyMTNhZjQwZWQwZGM0OTYifQ=="/>
    <w:docVar w:name="KSO_WPS_MARK_KEY" w:val="2107a334-7604-49eb-8bd1-55d84f9b2fd5"/>
  </w:docVars>
  <w:rsids>
    <w:rsidRoot w:val="00000000"/>
    <w:rsid w:val="36D02345"/>
    <w:rsid w:val="5DBE5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1123</Words>
  <Characters>1252</Characters>
  <TotalTime>3</TotalTime>
  <ScaleCrop>false</ScaleCrop>
  <LinksUpToDate>false</LinksUpToDate>
  <CharactersWithSpaces>1331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2023-03-03T08:30:00Z</dcterms:created>
  <dc:creator>Kingsoft-PDF</dc:creator>
  <cp:lastModifiedBy>于小雪</cp:lastModifiedBy>
  <dcterms:modified xsi:type="dcterms:W3CDTF">2023-03-03T00:35:41Z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2023-03-03T08:30:54Z</vt:filetime>
  </property>
  <property fmtid="{D5CDD505-2E9C-101B-9397-08002B2CF9AE}" pid="4" name="UsrData">
    <vt:lpwstr>64013fb5a2d7b00015afc1d7</vt:lpwstr>
  </property>
  <property fmtid="{D5CDD505-2E9C-101B-9397-08002B2CF9AE}" pid="5" name="KSOProductBuildVer">
    <vt:lpwstr>2052-11.1.0.12970</vt:lpwstr>
  </property>
  <property fmtid="{D5CDD505-2E9C-101B-9397-08002B2CF9AE}" pid="6" name="ICV">
    <vt:lpwstr>956DBDFBA35F43258AEB5F94054E1E51</vt:lpwstr>
  </property>
</Properties>
</file>